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28" w:rsidRPr="00802AA3" w:rsidRDefault="00C17DAF" w:rsidP="00DE7A28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</w:t>
      </w:r>
      <w:r w:rsidRPr="00802AA3">
        <w:rPr>
          <w:b/>
          <w:color w:val="AF272F"/>
          <w:sz w:val="36"/>
          <w:szCs w:val="44"/>
        </w:rPr>
        <w:t>Strategic Plan Goals and Targets</w:t>
      </w:r>
    </w:p>
    <w:p w:rsidR="00751081" w:rsidRPr="00802AA3" w:rsidRDefault="00C17DAF" w:rsidP="00DE7A28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noProof/>
          <w:color w:val="AF272F"/>
          <w:sz w:val="36"/>
          <w:szCs w:val="44"/>
        </w:rPr>
        <w:t>2018-2021</w:t>
      </w:r>
    </w:p>
    <w:p w:rsidR="00841F2A" w:rsidRPr="006A611D" w:rsidRDefault="00C17DAF" w:rsidP="00DF7FB3">
      <w:pPr>
        <w:pStyle w:val="ESIntroParagraph"/>
        <w:ind w:left="-567" w:right="1499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Kunyung Primary School (5182)</w:t>
      </w:r>
    </w:p>
    <w:p w:rsidR="00841F2A" w:rsidRPr="008766A4" w:rsidRDefault="00C17DAF" w:rsidP="00D84C0F">
      <w:pPr>
        <w:pStyle w:val="ESIntroParagraph"/>
        <w:ind w:left="-567" w:right="4330"/>
      </w:pPr>
    </w:p>
    <w:p w:rsidR="00751081" w:rsidRDefault="00C17DAF" w:rsidP="00D84C0F">
      <w:pPr>
        <w:pStyle w:val="Heading1"/>
        <w:ind w:left="-567"/>
      </w:pPr>
    </w:p>
    <w:p w:rsidR="00841F2A" w:rsidRDefault="00C17DAF" w:rsidP="00895870">
      <w:pPr>
        <w:pStyle w:val="ESHeading2"/>
      </w:pPr>
    </w:p>
    <w:p w:rsidR="009251D9" w:rsidRDefault="00C17DAF" w:rsidP="00895870">
      <w:pPr>
        <w:pStyle w:val="ESHeading2"/>
      </w:pPr>
      <w:bookmarkStart w:id="0" w:name="_GoBack"/>
      <w:bookmarkEnd w:id="0"/>
    </w:p>
    <w:p w:rsidR="009251D9" w:rsidRDefault="00C17DAF" w:rsidP="00895870">
      <w:pPr>
        <w:pStyle w:val="ESHeading2"/>
      </w:pPr>
    </w:p>
    <w:p w:rsidR="00A06D62" w:rsidRDefault="00C17DAF" w:rsidP="00895870">
      <w:pPr>
        <w:pStyle w:val="ESHeading2"/>
      </w:pPr>
    </w:p>
    <w:p w:rsidR="00A06D62" w:rsidRDefault="00C17DAF" w:rsidP="00895870">
      <w:pPr>
        <w:pStyle w:val="ESHeading2"/>
      </w:pPr>
    </w:p>
    <w:p w:rsidR="00A06D62" w:rsidRDefault="00C17DAF" w:rsidP="00895870">
      <w:pPr>
        <w:pStyle w:val="ESHeading2"/>
      </w:pPr>
    </w:p>
    <w:p w:rsidR="00BA5195" w:rsidRPr="00CB0768" w:rsidRDefault="00C17DAF" w:rsidP="00CB0768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810532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Default="00C17DAF" w:rsidP="00D5157D">
      <w:pPr>
        <w:pStyle w:val="ESBodyText"/>
        <w:sectPr w:rsidR="00CB0768" w:rsidSect="00FE23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8" w:h="23811" w:code="8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62" w:rsidRDefault="00C17DAF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 xml:space="preserve">Submitted for review by Elaine Vitale (School </w:t>
                            </w:r>
                            <w:r>
                              <w:rPr>
                                <w:noProof/>
                              </w:rPr>
                              <w:t>Principal) on 14 November, 2017 at 05:06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Mary Azer (Senior Education Improvement Leader) on 06 December, 2017 at 04:34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Mercil Lariba (School Council President) on 11 December, 2017 at 06:13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A06D62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Elaine Vitale (School Principal) on 14 November, 2017 at 05:06 PM</w:t>
                        <w:br/>
                        <w:t>Endorsed by Mary Azer (Senior Education Improvement Leader) on 06 December, 2017 at 04:34 PM</w:t>
                        <w:br/>
                        <w:t>Endorsed by Mercil Lariba (School Council President) on 11 December, 2017 at 06:13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D751E" w:rsidRPr="00802AA3" w:rsidRDefault="00C17DAF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>School Strategic Plan Goals and</w:t>
      </w:r>
      <w:r w:rsidRPr="00802AA3">
        <w:rPr>
          <w:b/>
          <w:color w:val="AF272F"/>
          <w:sz w:val="36"/>
          <w:szCs w:val="44"/>
        </w:rPr>
        <w:t xml:space="preserve"> Targets </w:t>
      </w:r>
      <w:r w:rsidRPr="00802AA3">
        <w:rPr>
          <w:b/>
          <w:color w:val="AF272F"/>
          <w:sz w:val="36"/>
          <w:szCs w:val="44"/>
        </w:rPr>
        <w:t xml:space="preserve">- </w:t>
      </w:r>
      <w:r w:rsidRPr="00802AA3">
        <w:rPr>
          <w:b/>
          <w:noProof/>
          <w:color w:val="AF272F"/>
          <w:sz w:val="36"/>
          <w:szCs w:val="44"/>
        </w:rPr>
        <w:t>2018-2021</w:t>
      </w:r>
    </w:p>
    <w:p w:rsidR="00C259B6" w:rsidRPr="001D751E" w:rsidRDefault="00C17DAF" w:rsidP="00DE7A28">
      <w:pPr>
        <w:pStyle w:val="ESIntroParagraph"/>
        <w:ind w:left="-567" w:right="4330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Kunyung Primary School (5182)</w:t>
      </w:r>
    </w:p>
    <w:p w:rsidR="005539D1" w:rsidRDefault="00C17DAF" w:rsidP="00C259B6">
      <w:pPr>
        <w:pStyle w:val="ESIntroParagraph"/>
        <w:ind w:left="-567" w:right="4330" w:firstLine="567"/>
        <w:rPr>
          <w:color w:val="AF272F"/>
        </w:rPr>
      </w:pPr>
    </w:p>
    <w:p w:rsidR="00C259B6" w:rsidRPr="006F02F6" w:rsidRDefault="00C17DAF" w:rsidP="00C259B6">
      <w:pPr>
        <w:pStyle w:val="ESIntroParagraph"/>
        <w:ind w:left="-567" w:right="4330"/>
        <w:rPr>
          <w:color w:val="AF272F"/>
        </w:rPr>
      </w:pPr>
    </w:p>
    <w:tbl>
      <w:tblPr>
        <w:tblStyle w:val="TableGrid"/>
        <w:tblW w:w="2223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0675"/>
      </w:tblGrid>
      <w:tr w:rsidR="002B3590" w:rsidTr="005761B6">
        <w:trPr>
          <w:trHeight w:val="110"/>
        </w:trPr>
        <w:tc>
          <w:tcPr>
            <w:tcW w:w="1555" w:type="dxa"/>
            <w:shd w:val="clear" w:color="auto" w:fill="D9D9D9" w:themeFill="background1" w:themeFillShade="D9"/>
          </w:tcPr>
          <w:p w:rsidR="004A0C2B" w:rsidRPr="00DE7A28" w:rsidRDefault="00C17DAF" w:rsidP="00C9468E">
            <w:pPr>
              <w:pStyle w:val="Heading3"/>
              <w:spacing w:before="0" w:after="0"/>
              <w:rPr>
                <w:sz w:val="16"/>
                <w:szCs w:val="24"/>
              </w:rPr>
            </w:pPr>
            <w:r w:rsidRPr="00DE7A28">
              <w:rPr>
                <w:szCs w:val="24"/>
              </w:rPr>
              <w:t>Goal 1</w:t>
            </w:r>
          </w:p>
        </w:tc>
        <w:tc>
          <w:tcPr>
            <w:tcW w:w="20675" w:type="dxa"/>
            <w:shd w:val="clear" w:color="auto" w:fill="D9D9D9" w:themeFill="background1" w:themeFillShade="D9"/>
          </w:tcPr>
          <w:p w:rsidR="004A0C2B" w:rsidRPr="00DE7A28" w:rsidRDefault="00C17DAF" w:rsidP="008835CD">
            <w:pPr>
              <w:pStyle w:val="ESBodyText"/>
              <w:spacing w:after="0"/>
              <w:rPr>
                <w:b/>
                <w:szCs w:val="24"/>
              </w:rPr>
            </w:pPr>
            <w:r>
              <w:rPr>
                <w:sz w:val="20"/>
              </w:rPr>
              <w:t>To ensure every student achieves their potential, maximising their achievement and learning growth across all curriculum areas and year levels.</w:t>
            </w:r>
          </w:p>
        </w:tc>
      </w:tr>
      <w:tr w:rsidR="002B3590" w:rsidTr="005761B6">
        <w:trPr>
          <w:trHeight w:val="38"/>
        </w:trPr>
        <w:tc>
          <w:tcPr>
            <w:tcW w:w="1555" w:type="dxa"/>
          </w:tcPr>
          <w:p w:rsidR="004A0C2B" w:rsidRPr="008835CD" w:rsidRDefault="00C17DAF" w:rsidP="008835CD">
            <w:pPr>
              <w:pStyle w:val="ESBodyText"/>
              <w:spacing w:after="0"/>
            </w:pPr>
            <w:r>
              <w:rPr>
                <w:sz w:val="20"/>
              </w:rPr>
              <w:t>Targets</w:t>
            </w:r>
          </w:p>
        </w:tc>
        <w:tc>
          <w:tcPr>
            <w:tcW w:w="20675" w:type="dxa"/>
          </w:tcPr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By</w:t>
            </w:r>
            <w:r w:rsidRPr="008835CD">
              <w:rPr>
                <w:sz w:val="20"/>
                <w:szCs w:val="20"/>
              </w:rPr>
              <w:t xml:space="preserve"> 2020, there will be an increase in the % of students in the top 2 bands in Year 3 NAPLAN, so that results are equal to or better than similar schools: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 xml:space="preserve">Reading from 65% (2017) to 68% (2020), Writing from 58% (2017) to 70% (2020), Number from 46% (2017) to </w:t>
            </w:r>
            <w:r w:rsidRPr="008835CD">
              <w:rPr>
                <w:sz w:val="20"/>
                <w:szCs w:val="20"/>
              </w:rPr>
              <w:t>60% (2020)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By 2020, there will be an increase in the % of students in the top 2 bands in Year 5 NAPLAN, so that results are equal to or better than similar schools: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Reading from 50% (2017) to 54% (2020), Writing from 20% (2017) to 32% (2020), Number from</w:t>
            </w:r>
            <w:r w:rsidRPr="008835CD">
              <w:rPr>
                <w:sz w:val="20"/>
                <w:szCs w:val="20"/>
              </w:rPr>
              <w:t xml:space="preserve"> 37% (2017) to 45% (2020)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By 2020, there will be an increase in the % of students demonstrating high relative growth, so that results continue to be equal to or better than similar schools: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Reading from 27% (2017) to 30% (2020), Writing from 18% (2017) t</w:t>
            </w:r>
            <w:r w:rsidRPr="008835CD">
              <w:rPr>
                <w:sz w:val="20"/>
                <w:szCs w:val="20"/>
              </w:rPr>
              <w:t>o 30% (2020), Number from 36% (2017) to 36% (2020)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 xml:space="preserve">By 2020, there will be an increase in the % of students achieving A and B in teacher judgements so that results are equal to or better than similar schools: 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Reading from 50% (2016) to 56% (2020), Writin</w:t>
            </w:r>
            <w:r w:rsidRPr="008835CD">
              <w:rPr>
                <w:sz w:val="20"/>
                <w:szCs w:val="20"/>
              </w:rPr>
              <w:t>g from 27% (2016) to 40% (2020), Number from 33% (2016) to 47% (2020)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By 2020, there will be an average annual growth of one Victorian Curriculum level per year or better for every student across F to 6 in Reading, Writing and Number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By 2020, teacher j</w:t>
            </w:r>
            <w:r w:rsidRPr="008835CD">
              <w:rPr>
                <w:sz w:val="20"/>
                <w:szCs w:val="20"/>
              </w:rPr>
              <w:t>udgement data in years 3 and 5 English and Mathematics will be closely aligned to NAPLAN results for the top 2 bands, from 19% (2016) to within 10% (2020)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sz w:val="20"/>
                <w:szCs w:val="20"/>
              </w:rPr>
              <w:t>Staff Opinion Survey whole school percentage endorsement for Academic Emphasis and Teacher Collabor</w:t>
            </w:r>
            <w:r w:rsidRPr="008835CD">
              <w:rPr>
                <w:sz w:val="20"/>
                <w:szCs w:val="20"/>
              </w:rPr>
              <w:t>ation in the School Climate module of the Staff Opinion Survey will continuously improve, reaching 90 percent or better by 2020. (2016 results: Academic Emphasis 83.2, Teacher Collaboration 81.7)</w:t>
            </w:r>
          </w:p>
          <w:p w:rsidR="004A0C2B" w:rsidRPr="008835CD" w:rsidRDefault="00C17DAF" w:rsidP="008835CD">
            <w:pPr>
              <w:pStyle w:val="ESBodyText"/>
              <w:spacing w:after="0"/>
            </w:pPr>
          </w:p>
        </w:tc>
      </w:tr>
    </w:tbl>
    <w:p w:rsidR="002B3590" w:rsidRDefault="002B3590"/>
    <w:tbl>
      <w:tblPr>
        <w:tblStyle w:val="TableGrid"/>
        <w:tblW w:w="2223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0675"/>
      </w:tblGrid>
      <w:tr w:rsidR="002B3590" w:rsidTr="005761B6">
        <w:trPr>
          <w:trHeight w:val="110"/>
        </w:trPr>
        <w:tc>
          <w:tcPr>
            <w:tcW w:w="1555" w:type="dxa"/>
            <w:shd w:val="clear" w:color="auto" w:fill="D9D9D9" w:themeFill="background1" w:themeFillShade="D9"/>
          </w:tcPr>
          <w:p w:rsidR="004A0C2B" w:rsidRPr="00DE7A28" w:rsidRDefault="00C17DAF" w:rsidP="00C9468E">
            <w:pPr>
              <w:pStyle w:val="Heading3"/>
              <w:spacing w:before="0" w:after="0"/>
              <w:rPr>
                <w:sz w:val="16"/>
                <w:szCs w:val="24"/>
              </w:rPr>
            </w:pPr>
            <w:r w:rsidRPr="00DE7A28">
              <w:rPr>
                <w:szCs w:val="24"/>
              </w:rPr>
              <w:t>Goal 2</w:t>
            </w:r>
          </w:p>
        </w:tc>
        <w:tc>
          <w:tcPr>
            <w:tcW w:w="20675" w:type="dxa"/>
            <w:shd w:val="clear" w:color="auto" w:fill="D9D9D9" w:themeFill="background1" w:themeFillShade="D9"/>
          </w:tcPr>
          <w:p w:rsidR="004A0C2B" w:rsidRPr="00DE7A28" w:rsidRDefault="00C17DAF" w:rsidP="008835CD">
            <w:pPr>
              <w:pStyle w:val="ESBodyText"/>
              <w:spacing w:after="0"/>
              <w:rPr>
                <w:b/>
                <w:szCs w:val="24"/>
              </w:rPr>
            </w:pPr>
            <w:r>
              <w:rPr>
                <w:sz w:val="20"/>
              </w:rPr>
              <w:t xml:space="preserve">To deepen student intellectual engagement, </w:t>
            </w:r>
            <w:r>
              <w:rPr>
                <w:sz w:val="20"/>
              </w:rPr>
              <w:t>collaboration and motivation within a stimulating learning community.</w:t>
            </w:r>
          </w:p>
        </w:tc>
      </w:tr>
      <w:tr w:rsidR="002B3590" w:rsidTr="005761B6">
        <w:trPr>
          <w:trHeight w:val="38"/>
        </w:trPr>
        <w:tc>
          <w:tcPr>
            <w:tcW w:w="1555" w:type="dxa"/>
          </w:tcPr>
          <w:p w:rsidR="004A0C2B" w:rsidRPr="008835CD" w:rsidRDefault="00C17DAF" w:rsidP="008835CD">
            <w:pPr>
              <w:pStyle w:val="ESBodyText"/>
              <w:spacing w:after="0"/>
            </w:pPr>
            <w:r>
              <w:rPr>
                <w:sz w:val="20"/>
              </w:rPr>
              <w:t>Targets</w:t>
            </w:r>
          </w:p>
        </w:tc>
        <w:tc>
          <w:tcPr>
            <w:tcW w:w="20675" w:type="dxa"/>
          </w:tcPr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rFonts w:eastAsia="Arial"/>
              </w:rPr>
              <w:t>Student Attitudes to School Survey percentage endorsement for Stimulating Learning, Teacher Concern, Resilience, Motivation and Interest and Student Voice and Agency continuousl</w:t>
            </w:r>
            <w:r w:rsidRPr="008835CD">
              <w:rPr>
                <w:rFonts w:eastAsia="Arial"/>
              </w:rPr>
              <w:t xml:space="preserve">y improve across Year levels 4 - 6 and for both males and females, reaching 90 percent or better by 2020. (2017 results: Stimulating Learning 86%, Teacher Concern 77%, Resilience 85%, Motivation and Interest 86% and Student Voice and Agency 71%) 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rFonts w:eastAsia="Arial"/>
              </w:rPr>
              <w:t xml:space="preserve">Parent </w:t>
            </w:r>
            <w:r w:rsidRPr="008835CD">
              <w:rPr>
                <w:rFonts w:eastAsia="Arial"/>
              </w:rPr>
              <w:t>Opinion Survey school mean scores for Stimulating Learning, General Satisfaction, Student Safety and Classroom Behaviour will continuously improve, reaching the 90th percentile or better by 2020. (2016 results: Stimulating Learning 6.01 - 53.5%, General Sa</w:t>
            </w:r>
            <w:r w:rsidRPr="008835CD">
              <w:rPr>
                <w:rFonts w:eastAsia="Arial"/>
              </w:rPr>
              <w:t xml:space="preserve">tisfaction 6.09 - 59.7%, Student Safety 5.30 - 41% and Classroom Behaviour 4.10 - 33%) 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t> </w:t>
            </w:r>
          </w:p>
          <w:p w:rsidR="004A0C2B" w:rsidRPr="008835CD" w:rsidRDefault="00C17DAF" w:rsidP="008835CD">
            <w:pPr>
              <w:pStyle w:val="ESBodyText"/>
              <w:spacing w:after="0"/>
            </w:pPr>
            <w:r w:rsidRPr="008835CD">
              <w:rPr>
                <w:rFonts w:eastAsia="Arial"/>
              </w:rPr>
              <w:t>Staff Opinion Survey whole school percentage endorsement for Collective Efficacy, Academic Emphasis, Trust in Students and Parents and Teacher Collaboration in the Sc</w:t>
            </w:r>
            <w:r w:rsidRPr="008835CD">
              <w:rPr>
                <w:rFonts w:eastAsia="Arial"/>
              </w:rPr>
              <w:t>hool Climate module of the Staff Opinion Survey will continuously improve, reaching 90 percent or better by 2020. (2016 results: Collective Efficacy 91.5, Academic Emphasis 83.2, Trust in Students and Parents 89.0 and Teacher Collaboration 81.7)</w:t>
            </w:r>
          </w:p>
          <w:p w:rsidR="004A0C2B" w:rsidRPr="008835CD" w:rsidRDefault="00C17DAF" w:rsidP="008835CD">
            <w:pPr>
              <w:pStyle w:val="ESBodyText"/>
              <w:spacing w:after="0"/>
            </w:pPr>
          </w:p>
        </w:tc>
      </w:tr>
    </w:tbl>
    <w:p w:rsidR="004B6AD4" w:rsidRDefault="00C17DAF" w:rsidP="008835CD">
      <w:pPr>
        <w:pStyle w:val="ESBodyText"/>
        <w:spacing w:after="0"/>
      </w:pPr>
    </w:p>
    <w:sectPr w:rsidR="004B6AD4" w:rsidSect="005761B6">
      <w:headerReference w:type="even" r:id="rId18"/>
      <w:headerReference w:type="default" r:id="rId19"/>
      <w:footerReference w:type="default" r:id="rId20"/>
      <w:headerReference w:type="first" r:id="rId21"/>
      <w:pgSz w:w="23811" w:h="16838" w:orient="landscape" w:code="8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AF" w:rsidRDefault="00C17DAF">
      <w:pPr>
        <w:spacing w:after="0" w:line="240" w:lineRule="auto"/>
      </w:pPr>
      <w:r>
        <w:separator/>
      </w:r>
    </w:p>
  </w:endnote>
  <w:endnote w:type="continuationSeparator" w:id="0">
    <w:p w:rsidR="00C17DAF" w:rsidRDefault="00C1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C17DAF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C17DAF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C17DAF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7839E6" w:rsidRDefault="00C17DAF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Kunyung Primary School (5182) - 2018 - Strategic Plan - Goals and Targets.docx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C17DA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6E2E03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AF" w:rsidRDefault="00C17DAF">
      <w:pPr>
        <w:spacing w:after="0" w:line="240" w:lineRule="auto"/>
      </w:pPr>
      <w:r>
        <w:separator/>
      </w:r>
    </w:p>
  </w:footnote>
  <w:footnote w:type="continuationSeparator" w:id="0">
    <w:p w:rsidR="00C17DAF" w:rsidRDefault="00C1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DA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C17DAF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C17D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DA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DA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C17DA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DAF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C17DA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C17DA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B4269C14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38903E36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A3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8B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28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41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2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6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A9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90"/>
    <w:rsid w:val="002B3590"/>
    <w:rsid w:val="006E2E03"/>
    <w:rsid w:val="00C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D745AE9C-56A5-40AB-A174-39CF1D11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74542E-4578-4184-B5A5-07AB6C55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Jackson, Kim K</cp:lastModifiedBy>
  <cp:revision>2</cp:revision>
  <dcterms:created xsi:type="dcterms:W3CDTF">2018-02-26T05:51:00Z</dcterms:created>
  <dcterms:modified xsi:type="dcterms:W3CDTF">2018-02-26T05:51:00Z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