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ind w:left="540" w:right="419"/>
        <w:rPr>
          <w:rFonts w:ascii="Arial" w:hAnsi="Arial"/>
          <w:b w:val="1"/>
          <w:color w:val="AF272F"/>
          <w:sz w:val="36"/>
          <w:lang w:bidi="ar_SA" w:eastAsia="en_US" w:val="en_US"/>
        </w:rPr>
      </w:pPr>
      <w:r>
        <w:rPr>
          <w:b w:val="1"/>
          <w:color w:val="AF272F"/>
          <w:sz w:val="36"/>
        </w:rPr>
        <w:t>Annual Implementation Plan</w:t>
      </w:r>
      <w:r>
        <w:rPr>
          <w:b w:val="1"/>
          <w:color w:val="AF272F"/>
          <w:sz w:val="36"/>
        </w:rPr>
        <w:t xml:space="preserve"> </w:t>
      </w:r>
      <w:r>
        <w:rPr>
          <w:b w:val="1"/>
          <w:color w:val="AF272F"/>
          <w:sz w:val="36"/>
        </w:rPr>
        <w:t xml:space="preserve">- </w:t>
      </w:r>
      <w:r>
        <w:rPr>
          <w:b w:val="1"/>
          <w:color w:val="AF272F"/>
          <w:sz w:val="36"/>
        </w:rPr>
        <w:t>2018</w:t>
      </w:r>
    </w:p>
    <w:p>
      <w:pPr>
        <w:ind w:left="540" w:right="419"/>
        <w:rPr>
          <w:rFonts w:ascii="Arial" w:hAnsi="Arial"/>
          <w:b w:val="1"/>
          <w:color w:val="AF272F"/>
          <w:sz w:val="36"/>
          <w:lang w:bidi="ar_SA" w:eastAsia="en_US" w:val="en_US"/>
        </w:rPr>
      </w:pPr>
      <w:r>
        <w:rPr>
          <w:b w:val="1"/>
          <w:color w:val="AF272F"/>
          <w:sz w:val="36"/>
        </w:rPr>
        <w:t>FISO Improvement Initiatives and Key Improvement Strategies</w:t>
      </w:r>
    </w:p>
    <w:p>
      <w:pPr>
        <w:pStyle w:val="ESIntroParagraph"/>
        <w:ind w:firstLine="1107" w:left="-567" w:right="1859"/>
        <w:rPr>
          <w:color w:val="595959"/>
          <w:sz w:val="24"/>
          <w:lang w:bidi="ar_SA" w:eastAsia="en_US" w:val="en_US"/>
        </w:rPr>
      </w:pPr>
      <w:r>
        <w:rPr>
          <w:color w:val="595959"/>
        </w:rPr>
        <w:t>Kunyung Primary School (5182)</w:t>
      </w:r>
    </w:p>
    <w:p>
      <w:pPr>
        <w:pStyle w:val="ESIntroParagraph"/>
        <w:ind w:left="-567" w:right="4330"/>
        <w:rPr>
          <w:sz w:val="24"/>
          <w:lang w:bidi="ar_SA" w:eastAsia="en_US" w:val="en_US"/>
        </w:rPr>
      </w:pPr>
    </w:p>
    <w:p>
      <w:pPr>
        <w:pStyle w:val="Heading1"/>
        <w:ind w:left="-567"/>
        <w:rPr>
          <w:rStyle w:val="Normal"/>
          <w:rFonts w:ascii="Arial" w:hAnsi="Arial"/>
          <w:b w:val="1"/>
          <w:bCs w:val="1"/>
          <w:caps w:val="1"/>
          <w:color w:val="AF272F"/>
          <w:sz w:val="20"/>
          <w:lang w:bidi="ar_SA" w:eastAsia="en_US" w:val="en_US"/>
        </w:rPr>
      </w:pPr>
    </w:p>
    <w:p>
      <w:pPr>
        <w:pStyle w:val="ESHeading2"/>
        <w:rPr>
          <w:rStyle w:val="Heading1"/>
          <w:rFonts w:ascii="Arial" w:hAnsi="Arial"/>
          <w:b w:val="1"/>
          <w:bCs w:val="1"/>
          <w:caps w:val="1"/>
          <w:color w:val="AF272F"/>
          <w:sz w:val="20"/>
          <w:lang w:bidi="ar_SA" w:eastAsia="en_US" w:val="en_US"/>
        </w:rPr>
      </w:pPr>
    </w:p>
    <w:p>
      <w:pPr>
        <w:pStyle w:val="ESHeading2"/>
        <w:rPr>
          <w:rStyle w:val="Heading1"/>
          <w:rFonts w:ascii="Arial" w:hAnsi="Arial"/>
          <w:b w:val="1"/>
          <w:bCs w:val="1"/>
          <w:caps w:val="1"/>
          <w:color w:val="AF272F"/>
          <w:sz w:val="20"/>
          <w:lang w:bidi="ar_SA" w:eastAsia="en_US" w:val="en_US"/>
        </w:rPr>
      </w:pPr>
      <w:bookmarkStart w:id="0" w:name="_GoBack"/>
      <w:bookmarkEnd w:id="0"/>
    </w:p>
    <w:p>
      <w:pPr>
        <w:pStyle w:val="ESHeading2"/>
        <w:rPr>
          <w:rStyle w:val="Heading1"/>
          <w:rFonts w:ascii="Arial" w:hAnsi="Arial"/>
          <w:b w:val="1"/>
          <w:bCs w:val="1"/>
          <w:caps w:val="1"/>
          <w:color w:val="AF272F"/>
          <w:sz w:val="20"/>
          <w:lang w:bidi="ar_SA" w:eastAsia="en_US" w:val="en_US"/>
        </w:rPr>
      </w:pPr>
    </w:p>
    <w:p>
      <w:pPr>
        <w:pStyle w:val="ESHeading2"/>
        <w:rPr>
          <w:rStyle w:val="Heading1"/>
          <w:rFonts w:ascii="Arial" w:hAnsi="Arial"/>
          <w:b w:val="1"/>
          <w:bCs w:val="1"/>
          <w:caps w:val="1"/>
          <w:color w:val="AF272F"/>
          <w:sz w:val="20"/>
          <w:lang w:bidi="ar_SA" w:eastAsia="en_US" w:val="en_US"/>
        </w:rPr>
      </w:pPr>
    </w:p>
    <w:p>
      <w:pPr>
        <w:pStyle w:val="ESHeading2"/>
        <w:jc w:val="center"/>
        <w:rPr>
          <w:rStyle w:val="Heading1"/>
          <w:rFonts w:ascii="Arial" w:hAnsi="Arial"/>
          <w:b w:val="1"/>
          <w:bCs w:val="1"/>
          <w:caps w:val="1"/>
          <w:color w:val="AF272F"/>
          <w:sz w:val="20"/>
          <w:lang w:bidi="ar_SA" w:eastAsia="en_US" w:val="en_US"/>
        </w:rPr>
      </w:pPr>
      <w:r>
        <w:rPr>
          <w:b w:val="0"/>
          <w:sz w:val="44"/>
          <w:lang w:eastAsia="en-AU" w:val="en-AU"/>
        </w:rPr>
        <w:drawing>
          <wp:anchor xmlns:a="http://schemas.openxmlformats.org/drawingml/2006/main" allowOverlap="1" behindDoc="1" distB="0" distL="114300" distR="114300" distT="0" layoutInCell="1" locked="0" relativeHeight="25165824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3810532" cy="3810532"/>
            <wp:effectExtent b="0" l="0" r="0" t="0"/>
            <wp:wrapNone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00017" name="Picture 100017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/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10001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ESHeading2"/>
        <w:rPr>
          <w:rStyle w:val="Heading1"/>
          <w:rFonts w:ascii="Arial" w:hAnsi="Arial"/>
          <w:b w:val="0"/>
          <w:bCs w:val="1"/>
          <w:caps w:val="1"/>
          <w:color w:val="AF272F"/>
          <w:sz w:val="20"/>
          <w:lang w:bidi="ar_SA" w:eastAsia="en_US" w:val="en_US"/>
        </w:rPr>
      </w:pPr>
    </w:p>
    <w:p>
      <w:pPr>
        <w:pStyle w:val="ESHeading2"/>
        <w:rPr>
          <w:rStyle w:val="Heading1"/>
          <w:rFonts w:ascii="Arial" w:hAnsi="Arial"/>
          <w:b w:val="1"/>
          <w:bCs w:val="1"/>
          <w:caps w:val="1"/>
          <w:color w:val="AF272F"/>
          <w:sz w:val="20"/>
          <w:lang w:bidi="ar_SA" w:eastAsia="en_US" w:val="en_US"/>
        </w:rPr>
        <w:sectPr>
          <w:headerReference w:type="even" r:id="rId7"/>
          <w:headerReference w:type="default" r:id="rId8"/>
          <w:headerReference w:type="first" r:id="rId9"/>
          <w:footerReference w:type="even" r:id="rId10"/>
          <w:footerReference w:type="default" r:id="rId11"/>
          <w:pgSz w:h="23811" w:w="16838"/>
          <w:pgMar w:bottom="1304" w:footer="1134" w:gutter="0" w:header="624" w:left="562" w:right="737" w:top="1005"/>
          <w:cols w:space="397"/>
          <w:docGrid w:linePitch="360"/>
        </w:sectPr>
      </w:pPr>
    </w:p>
    <w:p>
      <w:pPr>
        <w:ind w:left="-540" w:right="-1172"/>
        <w:rPr>
          <w:rFonts w:ascii="Arial" w:hAnsi="Arial"/>
          <w:b w:val="1"/>
          <w:color w:val="AF272F"/>
          <w:sz w:val="36"/>
          <w:lang w:bidi="ar_SA" w:eastAsia="en_US" w:val="en_US"/>
        </w:rPr>
      </w:pPr>
      <w:r>
        <w:rPr>
          <w:b w:val="1"/>
          <w:color w:val="AF272F"/>
          <w:sz w:val="36"/>
        </w:rPr>
        <w:t>Annual Implementation Plan</w:t>
      </w:r>
      <w:r>
        <w:rPr>
          <w:b w:val="1"/>
          <w:color w:val="AF272F"/>
          <w:sz w:val="36"/>
        </w:rPr>
        <w:t xml:space="preserve"> </w:t>
      </w:r>
      <w:r>
        <w:rPr>
          <w:b w:val="1"/>
          <w:color w:val="AF272F"/>
          <w:sz w:val="36"/>
        </w:rPr>
        <w:t xml:space="preserve">- </w:t>
      </w:r>
      <w:r>
        <w:rPr>
          <w:b w:val="1"/>
          <w:color w:val="AF272F"/>
          <w:sz w:val="36"/>
        </w:rPr>
        <w:t>2018</w:t>
      </w:r>
    </w:p>
    <w:p>
      <w:pPr>
        <w:ind w:left="-540" w:right="-1172"/>
        <w:rPr>
          <w:rFonts w:ascii="Arial" w:hAnsi="Arial"/>
          <w:b w:val="1"/>
          <w:color w:val="AF272F"/>
          <w:sz w:val="36"/>
          <w:lang w:bidi="ar_SA" w:eastAsia="en_US" w:val="en_US"/>
        </w:rPr>
      </w:pPr>
      <w:r>
        <w:rPr>
          <w:b w:val="1"/>
          <w:color w:val="AF272F"/>
          <w:sz w:val="36"/>
        </w:rPr>
        <w:t>FISO Improvement Initiatives</w:t>
      </w:r>
      <w:r>
        <w:rPr>
          <w:b w:val="1"/>
          <w:color w:val="AF272F"/>
          <w:sz w:val="36"/>
        </w:rPr>
        <w:t xml:space="preserve"> and Key Improvement Strategies</w:t>
      </w:r>
    </w:p>
    <w:p>
      <w:pPr>
        <w:pStyle w:val="ESIntroParagraph"/>
        <w:ind w:firstLine="27" w:left="-567" w:right="1931"/>
        <w:rPr>
          <w:color w:val="595959"/>
          <w:sz w:val="28"/>
          <w:lang w:bidi="ar_SA" w:eastAsia="en_US" w:val="en_US"/>
        </w:rPr>
      </w:pPr>
      <w:r>
        <w:rPr>
          <w:color w:val="595959"/>
          <w:sz w:val="28"/>
        </w:rPr>
        <w:t>Kunyung Primary School (5182)</w:t>
      </w:r>
    </w:p>
    <w:p>
      <w:pPr>
        <w:pStyle w:val="ESBodyText"/>
        <w:rPr>
          <w:rStyle w:val="Normal"/>
          <w:rFonts w:ascii="Arial" w:hAnsi="Arial"/>
          <w:sz w:val="18"/>
          <w:lang w:bidi="ar_SA" w:eastAsia="en_US" w:val="en_US"/>
        </w:rPr>
      </w:pPr>
    </w:p>
    <w:tbl>
      <w:tblPr>
        <w:tblStyle w:val="TableGrid"/>
        <w:tblW w:type="dxa" w:w="22230"/>
        <w:tblCellMar>
          <w:top w:type="dxa" w:w="115"/>
          <w:left w:type="dxa" w:w="115"/>
          <w:bottom w:type="dxa" w:w="115"/>
          <w:right w:type="dxa" w:w="115"/>
        </w:tblCellMar>
        <w:tblLook w:val="04A0"/>
      </w:tblPr>
      <w:tblGrid>
        <w:gridCol w:w="3780"/>
        <w:gridCol w:w="6930"/>
        <w:gridCol w:w="1890"/>
        <w:gridCol w:w="4950"/>
        <w:gridCol w:w="4680"/>
      </w:tblGrid>
      <w:tr>
        <w:trPr>
          <w:trHeight w:hRule="atLeast" w:val="783"/>
        </w:trPr>
        <w:tc>
          <w:tcPr>
            <w:tcW w:type="dxa" w:w="3780"/>
            <w:shd w:color="000000" w:fill="D9D9D9" w:val="clear"/>
          </w:tcPr>
          <w:p>
            <w:pPr>
              <w:pStyle w:val="Heading3"/>
              <w:spacing w:after="0" w:before="10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Four Year Strategic Goals</w:t>
            </w:r>
          </w:p>
        </w:tc>
        <w:tc>
          <w:tcPr>
            <w:tcW w:type="dxa" w:w="6930"/>
            <w:shd w:color="000000" w:fill="D9D9D9" w:val="clear"/>
          </w:tcPr>
          <w:p>
            <w:pPr>
              <w:pStyle w:val="Heading3"/>
              <w:spacing w:after="0" w:before="10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Four Year Strategic Targets</w:t>
            </w:r>
          </w:p>
        </w:tc>
        <w:tc>
          <w:tcPr>
            <w:tcW w:type="dxa" w:w="1890"/>
            <w:shd w:color="000000" w:fill="D9D9D9" w:val="clear"/>
          </w:tcPr>
          <w:p>
            <w:pPr>
              <w:pStyle w:val="Heading3"/>
              <w:spacing w:after="0" w:before="10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Is this selected for focus this year?</w:t>
            </w:r>
          </w:p>
        </w:tc>
        <w:tc>
          <w:tcPr>
            <w:tcW w:type="dxa" w:w="4950"/>
            <w:shd w:color="000000" w:fill="D9D9D9" w:val="clear"/>
          </w:tcPr>
          <w:p>
            <w:pPr>
              <w:pStyle w:val="Heading3"/>
              <w:spacing w:after="0" w:before="10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 xml:space="preserve">12 month </w:t>
            </w:r>
            <w:r>
              <w:t>target</w:t>
            </w:r>
          </w:p>
          <w:p>
            <w:pPr>
              <w:spacing w:after="0" w:before="100"/>
              <w:rPr>
                <w:rFonts w:ascii="Arial" w:hAnsi="Arial"/>
                <w:color w:val="000000"/>
                <w:sz w:val="20"/>
                <w:lang w:bidi="ar_SA" w:eastAsia="en_US" w:val="en_US"/>
              </w:rPr>
            </w:pPr>
            <w:r>
              <w:rPr>
                <w:color w:val="000000"/>
                <w:sz w:val="20"/>
              </w:rPr>
              <w:t>Outline what you want achieve in the next 12 months against your Strategic Plan target.</w:t>
            </w:r>
          </w:p>
        </w:tc>
        <w:tc>
          <w:tcPr>
            <w:tcW w:type="dxa" w:w="4680"/>
            <w:shd w:color="000000" w:fill="D9D9D9" w:val="clear"/>
          </w:tcPr>
          <w:p>
            <w:pPr>
              <w:pStyle w:val="Heading3"/>
              <w:spacing w:after="0" w:before="10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FISO initiative</w:t>
            </w:r>
          </w:p>
        </w:tc>
      </w:tr>
      <w:tr>
        <w:trPr>
          <w:trHeight w:hRule="atLeast" w:val="83"/>
        </w:trPr>
        <w:tc>
          <w:tcPr>
            <w:tcW w:type="dxa" w:w="378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To ensure every student achieves their potential, maximising their achievement and learning growth across all curriculum areas and year levels.</w:t>
            </w:r>
          </w:p>
        </w:tc>
        <w:tc>
          <w:tcPr>
            <w:tcW w:type="dxa" w:w="693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By 2020, there will be an increase in the % of students in the top 2 bands in Year 3 NAPLAN, so that results are equal to or better than similar schools: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Reading from 65% (2017) to 68% (2020), Writing from 58% (2017) to 70% (2020), Number from 46% (2017) t</w:t>
            </w:r>
            <w:r>
              <w:rPr>
                <w:sz w:val="20"/>
              </w:rPr>
              <w:t>o 60% (2020)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 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By 2020, there will be an increase in the % of students in the top 2 bands in Year 5 NAPLAN, so that results are equal to or better than similar schools: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Reading from 50% (2017) to 54% (2020), Writing from 20% (2017) to 32% (2020), Number fr</w:t>
            </w:r>
            <w:r>
              <w:rPr>
                <w:sz w:val="20"/>
              </w:rPr>
              <w:t>om 37% (2017) to 45% (2020)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 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By 2020, there will be an increase in the % of students demonstrating high relative growth, so that results continue to be equal to or better than similar schools: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Reading from 27% (2017) to 30% (2020), Writing from 18% (2017)</w:t>
            </w:r>
            <w:r>
              <w:rPr>
                <w:sz w:val="20"/>
              </w:rPr>
              <w:t xml:space="preserve"> to 30% (2020), Number from 36% (2017) to 36% (2020)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 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 xml:space="preserve">By 2020, there will be an increase in the % of students achieving A and B in teacher judgements so that results are equal to or better than similar schools: 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Reading from 50% (2016) to 56% (2020), Writ</w:t>
            </w:r>
            <w:r>
              <w:rPr>
                <w:sz w:val="20"/>
              </w:rPr>
              <w:t>ing from 27% (2016) to 40% (2020), Number from 33% (2016) to 47% (2020)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 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By 2020, there will be an average annual growth of one Victorian Curriculum level per year or better for every student across F to 6 in Reading, Writing and Number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 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By 2020, teacher</w:t>
            </w:r>
            <w:r>
              <w:rPr>
                <w:sz w:val="20"/>
              </w:rPr>
              <w:t xml:space="preserve"> judgement data in years 3 and 5 English and Mathematics will be closely aligned to NAPLAN results for the top 2 bands, from 19% (2016) to within 10% (2020)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 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Staff Opinion Survey whole school percentage endorsement for Academic Emphasis and Teacher Collab</w:t>
            </w:r>
            <w:r>
              <w:rPr>
                <w:sz w:val="20"/>
              </w:rPr>
              <w:t>oration in the School Climate module of the Staff Opinion Survey will continuously improve, reaching 90 percent or better by 2020. (2016 results: Academic Emphasis 83.2, Teacher Collaboration 81.7)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</w:p>
        </w:tc>
        <w:tc>
          <w:tcPr>
            <w:tcW w:type="dxa" w:w="189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type="dxa" w:w="495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There will be an increase in the % of students achiev</w:t>
            </w:r>
            <w:r>
              <w:rPr>
                <w:sz w:val="20"/>
              </w:rPr>
              <w:t>ing A &amp; B in Teacher Judgements in Writing &amp; Number and an average annual growth of one Victorian Curriculum level.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Teacher judgement data in Years 3 and 5 Writing &amp; Number will be more closely aligned to NAPLAN results for the top 2 bands.</w:t>
            </w:r>
          </w:p>
        </w:tc>
        <w:tc>
          <w:tcPr>
            <w:tcW w:type="dxa" w:w="468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Building prac</w:t>
            </w:r>
            <w:r>
              <w:rPr>
                <w:sz w:val="20"/>
              </w:rPr>
              <w:t>tice excellence</w:t>
            </w:r>
          </w:p>
        </w:tc>
      </w:tr>
      <w:tr>
        <w:trPr>
          <w:trHeight w:hRule="atLeast" w:val="83"/>
        </w:trPr>
        <w:tc>
          <w:tcPr>
            <w:tcW w:type="dxa" w:w="378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To deepen student intellectual engagement, collaboration and motivation within a stimulating learning community.</w:t>
            </w:r>
          </w:p>
        </w:tc>
        <w:tc>
          <w:tcPr>
            <w:tcW w:type="dxa" w:w="693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t>Student Attitudes to School Survey percentage endorsement for Stimulating Learning, Teacher Concern, Resilience, Motivation an</w:t>
            </w:r>
            <w:r>
              <w:t>d Interest and Student Voice and Agency continuously improve across Year levels 4 - 6 and for both males and females, reaching 90 percent or better by 2020. (2017 results: Stimulating Learning 86%, Teacher Concern 77%, Resilience 85%, Motivation and Intere</w:t>
            </w:r>
            <w:r>
              <w:t xml:space="preserve">st 86% and Student Voice and Agency 71%) 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t> 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t>Parent Opinion Survey school mean scores for Stimulating Learning, General Satisfaction, Student Safety and Classroom Behaviour will continuously improve, reaching the 90th percentile or better by 2020. (2016 results: Stimulating Learning 6.01 - 53.5%, Gen</w:t>
            </w:r>
            <w:r>
              <w:t xml:space="preserve">eral Satisfaction 6.09 - 59.7%, Student Safety 5.30 - 41% and Classroom Behaviour 4.10 - 33%) 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t> 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t>Staff Opinion Survey whole school percentage endorsement for Collective Efficacy, Academic Emphasis, Trust in Students and Parents and Teacher Collaboration in</w:t>
            </w:r>
            <w:r>
              <w:t xml:space="preserve"> the School Climate module of the Staff Opinion Survey will continuously improve, reaching 90 percent or better by 2020. (2016 results: Collective Efficacy 91.5, Academic Emphasis 83.2, Trust in Students and Parents 89.0 and Teacher Collaboration 81.7)</w:t>
            </w:r>
          </w:p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</w:p>
        </w:tc>
        <w:tc>
          <w:tcPr>
            <w:tcW w:type="dxa" w:w="189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type="dxa" w:w="495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Student Attitudes to School Survey percentage endorsement for Stimulating Learning, Teacher Concern, Resilience, Motivation and Interest and Student Voice and Agency improve across Year levels 4 - 6 and for both males and females.</w:t>
            </w:r>
          </w:p>
        </w:tc>
        <w:tc>
          <w:tcPr>
            <w:tcW w:type="dxa" w:w="468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sz w:val="18"/>
                <w:lang w:bidi="ar_SA" w:eastAsia="en_US" w:val="en_US"/>
              </w:rPr>
            </w:pPr>
            <w:r>
              <w:rPr>
                <w:sz w:val="20"/>
              </w:rPr>
              <w:t>Intellectual engageme</w:t>
            </w:r>
            <w:r>
              <w:rPr>
                <w:sz w:val="20"/>
              </w:rPr>
              <w:t>nt and self-awareness</w:t>
            </w:r>
          </w:p>
        </w:tc>
      </w:tr>
    </w:tbl>
    <w:p>
      <w:pPr>
        <w:pStyle w:val="ESBodyText"/>
        <w:spacing w:after="0"/>
        <w:rPr>
          <w:rStyle w:val="Normal"/>
          <w:rFonts w:ascii="Arial" w:hAnsi="Arial"/>
          <w:sz w:val="18"/>
          <w:lang w:bidi="ar_SA" w:eastAsia="en_US" w:val="en_US"/>
        </w:rPr>
      </w:pPr>
    </w:p>
    <w:tbl>
      <w:tblPr>
        <w:tblStyle w:val="TableGrid"/>
        <w:tblW w:type="dxa" w:w="22230"/>
        <w:tblCellMar>
          <w:top w:type="dxa" w:w="115"/>
          <w:left w:type="dxa" w:w="115"/>
          <w:bottom w:type="dxa" w:w="115"/>
          <w:right w:type="dxa" w:w="115"/>
        </w:tblCellMar>
        <w:tblLook w:val="04A0"/>
      </w:tblPr>
      <w:tblGrid>
        <w:gridCol w:w="22230"/>
      </w:tblGrid>
      <w:tr>
        <w:trPr>
          <w:trHeight w:hRule="atLeast" w:val="200"/>
        </w:trPr>
        <w:tc>
          <w:tcPr>
            <w:tcW w:type="dxa" w:w="22230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0"/>
                <w:color w:val="000000"/>
                <w:sz w:val="20"/>
                <w:lang w:bidi="ar_SA" w:eastAsia="en_US" w:val="en_US"/>
              </w:rPr>
            </w:pPr>
            <w:r>
              <w:t>Improvement Initiatives Rationale</w:t>
            </w:r>
          </w:p>
        </w:tc>
      </w:tr>
      <w:tr>
        <w:trPr>
          <w:trHeight w:hRule="atLeast" w:val="15"/>
        </w:trPr>
        <w:tc>
          <w:tcPr>
            <w:tcW w:type="dxa" w:w="22230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 xml:space="preserve">Goal 1 Rationale: </w:t>
            </w:r>
            <w:r>
              <w:rPr>
                <w:sz w:val="20"/>
              </w:rPr>
              <w:br/>
              <w:t xml:space="preserve">Whilst the 2017 School Review panel acknowledged improvements in student achievement data, it felt that there were further opportunities for all students to achieve their </w:t>
            </w:r>
            <w:r>
              <w:rPr>
                <w:sz w:val="20"/>
              </w:rPr>
              <w:t>potential and for results to align more closely with similar schools.</w:t>
            </w:r>
            <w:r>
              <w:rPr>
                <w:sz w:val="20"/>
              </w:rPr>
              <w:br/>
              <w:t>Goal 1 Theories of Action: When teachers adopt consistent teaching and learning protocols and practices across all classrooms, then in–class variability is reduced and student achievemen</w:t>
            </w:r>
            <w:r>
              <w:rPr>
                <w:sz w:val="20"/>
              </w:rPr>
              <w:t>t will increase.</w:t>
            </w:r>
            <w:r>
              <w:rPr>
                <w:sz w:val="20"/>
              </w:rPr>
              <w:br/>
              <w:t>When teachers and teams reflect on individual student and cohort performance and purposefully act on data and evidence about learning, then the student learning experience deepens and outcomes improve.</w:t>
            </w:r>
            <w:r>
              <w:rPr>
                <w:sz w:val="20"/>
              </w:rPr>
              <w:br/>
              <w:t>When data and evidence is used to mon</w:t>
            </w:r>
            <w:r>
              <w:rPr>
                <w:sz w:val="20"/>
              </w:rPr>
              <w:t>itor, provide feedback about, and enhance student performance then students’ progress accelerates more quickly.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Goal 2 Rationale:</w:t>
            </w:r>
            <w:r>
              <w:rPr>
                <w:sz w:val="20"/>
              </w:rPr>
              <w:br/>
              <w:t>Whilst the 2017 School Review panel acknowledged the growth in learner agency over the review period, it felt that there were</w:t>
            </w:r>
            <w:r>
              <w:rPr>
                <w:sz w:val="20"/>
              </w:rPr>
              <w:t xml:space="preserve"> further opportunities to deepen student intellectual engagement and self–awareness over the next planning period.</w:t>
            </w:r>
            <w:r>
              <w:rPr>
                <w:sz w:val="20"/>
              </w:rPr>
              <w:br/>
              <w:t>Goal 2 Theories of Action: When teachers and students work together and where student voice is heard and respected, students build their conf</w:t>
            </w:r>
            <w:r>
              <w:rPr>
                <w:sz w:val="20"/>
              </w:rPr>
              <w:t>idence, optimism and efficacy, resulting in a more positive school climate where achievement, engagement and wellbeing outcomes are optimised.</w:t>
            </w:r>
            <w:r>
              <w:rPr>
                <w:sz w:val="20"/>
              </w:rPr>
              <w:br/>
              <w:t>When students are actively involved in their learning and take greater charge of their own and each other’s learn</w:t>
            </w:r>
            <w:r>
              <w:rPr>
                <w:sz w:val="20"/>
              </w:rPr>
              <w:t xml:space="preserve">ing, then achievement and engagement will improve. </w:t>
            </w:r>
            <w:r>
              <w:rPr>
                <w:sz w:val="20"/>
              </w:rPr>
              <w:br/>
              <w:t>When students have a clear understanding of their existing competencies and learning is visible, they understand the steps required to progress to the next level and therefore engage more deeply in learni</w:t>
            </w:r>
            <w:r>
              <w:rPr>
                <w:sz w:val="20"/>
              </w:rPr>
              <w:t>ng.</w:t>
            </w:r>
          </w:p>
        </w:tc>
      </w:tr>
    </w:tbl>
    <w:p>
      <w:pPr>
        <w:pStyle w:val="ESBodyText"/>
        <w:rPr>
          <w:rStyle w:val="Normal"/>
          <w:rFonts w:ascii="Arial" w:hAnsi="Arial"/>
          <w:sz w:val="18"/>
          <w:lang w:bidi="ar_SA" w:eastAsia="en_US" w:val="en_US"/>
        </w:rPr>
      </w:pPr>
    </w:p>
    <w:tbl>
      <w:tblPr>
        <w:tblStyle w:val="TableGrid"/>
        <w:tblW w:type="dxa" w:w="22230"/>
        <w:tblCellMar>
          <w:top w:type="dxa" w:w="115"/>
          <w:left w:type="dxa" w:w="115"/>
          <w:bottom w:type="dxa" w:w="115"/>
          <w:right w:type="dxa" w:w="115"/>
        </w:tblCellMar>
        <w:tblLook w:val="04A0"/>
      </w:tblPr>
      <w:tblGrid>
        <w:gridCol w:w="3772"/>
        <w:gridCol w:w="18458"/>
      </w:tblGrid>
      <w:tr>
        <w:trPr>
          <w:trHeight w:hRule="atLeast" w:val="218"/>
        </w:trPr>
        <w:tc>
          <w:tcPr>
            <w:tcW w:type="dxa" w:w="3772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Goal 1</w:t>
            </w:r>
          </w:p>
        </w:tc>
        <w:tc>
          <w:tcPr>
            <w:tcW w:type="dxa" w:w="18458"/>
            <w:shd w:color="000000" w:fill="D9D9D9" w:val="clear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To ensure every student achieves their potential, maximising their achievement and learning growth across all curriculum areas and year levels.</w:t>
            </w:r>
          </w:p>
        </w:tc>
      </w:tr>
      <w:tr>
        <w:trPr>
          <w:trHeight w:hRule="atLeast" w:val="15"/>
        </w:trPr>
        <w:tc>
          <w:tcPr>
            <w:tcW w:type="dxa" w:w="3772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0"/>
                <w:color w:val="000000"/>
                <w:sz w:val="20"/>
                <w:lang w:bidi="ar_SA" w:eastAsia="en_US" w:val="en_US"/>
              </w:rPr>
            </w:pPr>
            <w:r>
              <w:t>12 month target 1.1</w:t>
            </w:r>
          </w:p>
        </w:tc>
        <w:tc>
          <w:tcPr>
            <w:tcW w:type="dxa" w:w="18458"/>
            <w:shd w:color="000000" w:fill="D9D9D9" w:val="clear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 xml:space="preserve">There will be an increase in the % of students achieving A &amp; B in Teacher </w:t>
            </w:r>
            <w:r>
              <w:rPr>
                <w:sz w:val="20"/>
              </w:rPr>
              <w:t>Judgements in Writing &amp; Number and an average annual growth of one Victorian Curriculum level.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br/>
              <w:t>Teacher judgement data in Years 3 and 5 Writing &amp; Number will be more closely aligned to NAPLAN results for the top 2 bands.</w:t>
            </w:r>
          </w:p>
        </w:tc>
      </w:tr>
      <w:tr>
        <w:trPr>
          <w:trHeight w:hRule="atLeast" w:val="371"/>
        </w:trPr>
        <w:tc>
          <w:tcPr>
            <w:tcW w:type="dxa" w:w="3772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FISO Initiative</w:t>
            </w:r>
          </w:p>
        </w:tc>
        <w:tc>
          <w:tcPr>
            <w:tcW w:type="dxa" w:w="18458"/>
            <w:shd w:color="000000" w:fill="D9D9D9" w:val="clear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Building practice</w:t>
            </w:r>
            <w:r>
              <w:rPr>
                <w:sz w:val="20"/>
              </w:rPr>
              <w:t xml:space="preserve"> excellence</w:t>
            </w:r>
          </w:p>
        </w:tc>
      </w:tr>
      <w:tr>
        <w:trPr>
          <w:trHeight w:hRule="atLeast" w:val="15"/>
        </w:trPr>
        <w:tc>
          <w:tcPr>
            <w:tcW w:type="dxa" w:w="3772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Key Improvement Strategies</w:t>
            </w:r>
          </w:p>
        </w:tc>
        <w:tc>
          <w:tcPr>
            <w:tcW w:type="dxa" w:w="18458"/>
            <w:shd w:color="000000" w:fill="D9D9D9" w:val="clear"/>
          </w:tcPr>
          <w:p>
            <w:pPr>
              <w:pStyle w:val="ESBodyText"/>
              <w:numPr>
                <w:ilvl w:val="0"/>
                <w:numId w:val="18"/>
              </w:numPr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</w:p>
        </w:tc>
      </w:tr>
      <w:tr>
        <w:trPr>
          <w:trHeight w:hRule="atLeast" w:val="101"/>
        </w:trPr>
        <w:tc>
          <w:tcPr>
            <w:tcW w:type="dxa" w:w="3772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type="dxa" w:w="18458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Strengthen the school’s strategic, comprehensive professional learning program to continue building the capacity of teachers to consistently employ evidence–based, high impact teaching strategies based on the</w:t>
            </w:r>
            <w:r>
              <w:rPr>
                <w:sz w:val="20"/>
              </w:rPr>
              <w:t xml:space="preserve"> school’s agreements about what constitutes high quality instructional practice.</w:t>
            </w:r>
          </w:p>
        </w:tc>
      </w:tr>
      <w:tr>
        <w:trPr>
          <w:trHeight w:hRule="atLeast" w:val="101"/>
        </w:trPr>
        <w:tc>
          <w:tcPr>
            <w:tcW w:type="dxa" w:w="3772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KIS 2</w:t>
            </w:r>
          </w:p>
        </w:tc>
        <w:tc>
          <w:tcPr>
            <w:tcW w:type="dxa" w:w="18458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Strengthen the capacity of teachers and teams to analyse and triangulate data to assist in making more consistent judgements of student achievement.</w:t>
            </w:r>
          </w:p>
        </w:tc>
      </w:tr>
      <w:tr>
        <w:trPr>
          <w:trHeight w:hRule="atLeast" w:val="101"/>
        </w:trPr>
        <w:tc>
          <w:tcPr>
            <w:tcW w:type="dxa" w:w="3772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KIS 3</w:t>
            </w:r>
          </w:p>
        </w:tc>
        <w:tc>
          <w:tcPr>
            <w:tcW w:type="dxa" w:w="18458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 xml:space="preserve">Strengthen </w:t>
            </w:r>
            <w:r>
              <w:rPr>
                <w:sz w:val="20"/>
              </w:rPr>
              <w:t>conceptual understandings of learning continuums and further develop effective tools, empowering students to challenge themselves and maximise their potential in Mathematics</w:t>
            </w:r>
          </w:p>
        </w:tc>
      </w:tr>
      <w:tr>
        <w:trPr>
          <w:trHeight w:hRule="atLeast" w:val="101"/>
        </w:trPr>
        <w:tc>
          <w:tcPr>
            <w:tcW w:type="dxa" w:w="3772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KIS 4</w:t>
            </w:r>
          </w:p>
        </w:tc>
        <w:tc>
          <w:tcPr>
            <w:tcW w:type="dxa" w:w="18458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Strengthen conceptual understandings of learning continuums and further dev</w:t>
            </w:r>
            <w:r>
              <w:rPr>
                <w:sz w:val="20"/>
              </w:rPr>
              <w:t>elop effective tools, empowering students to challenge themselves and maximise their potential in Writing</w:t>
            </w:r>
          </w:p>
        </w:tc>
      </w:tr>
    </w:tbl>
    <w:p>
      <w:pPr>
        <w:rPr>
          <w:rFonts w:ascii="Arial" w:hAnsi="Arial"/>
          <w:sz w:val="18"/>
          <w:lang w:bidi="ar_SA" w:eastAsia="en_US" w:val="en_US"/>
        </w:rPr>
      </w:pPr>
    </w:p>
    <w:tbl>
      <w:tblPr>
        <w:tblStyle w:val="TableGrid"/>
        <w:tblW w:type="dxa" w:w="22230"/>
        <w:tblCellMar>
          <w:top w:type="dxa" w:w="115"/>
          <w:left w:type="dxa" w:w="115"/>
          <w:bottom w:type="dxa" w:w="115"/>
          <w:right w:type="dxa" w:w="115"/>
        </w:tblCellMar>
        <w:tblLook w:val="04A0"/>
      </w:tblPr>
      <w:tblGrid>
        <w:gridCol w:w="3772"/>
        <w:gridCol w:w="18458"/>
      </w:tblGrid>
      <w:tr>
        <w:trPr>
          <w:trHeight w:hRule="atLeast" w:val="218"/>
        </w:trPr>
        <w:tc>
          <w:tcPr>
            <w:tcW w:type="dxa" w:w="3772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Goal 2</w:t>
            </w:r>
          </w:p>
        </w:tc>
        <w:tc>
          <w:tcPr>
            <w:tcW w:type="dxa" w:w="18458"/>
            <w:shd w:color="000000" w:fill="D9D9D9" w:val="clear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To deepen student intellectual engagement, collaboration and motivation within a stimulating learning community.</w:t>
            </w:r>
          </w:p>
        </w:tc>
      </w:tr>
      <w:tr>
        <w:trPr>
          <w:trHeight w:hRule="atLeast" w:val="15"/>
        </w:trPr>
        <w:tc>
          <w:tcPr>
            <w:tcW w:type="dxa" w:w="3772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0"/>
                <w:color w:val="000000"/>
                <w:sz w:val="20"/>
                <w:lang w:bidi="ar_SA" w:eastAsia="en_US" w:val="en_US"/>
              </w:rPr>
            </w:pPr>
            <w:r>
              <w:t>12 month target 2.1</w:t>
            </w:r>
          </w:p>
        </w:tc>
        <w:tc>
          <w:tcPr>
            <w:tcW w:type="dxa" w:w="18458"/>
            <w:shd w:color="000000" w:fill="D9D9D9" w:val="clear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Student</w:t>
            </w:r>
            <w:r>
              <w:rPr>
                <w:sz w:val="20"/>
              </w:rPr>
              <w:t xml:space="preserve"> Attitudes to School Survey percentage endorsement for Stimulating Learning, Teacher Concern, Resilience, Motivation and Interest and Student Voice and Agency improve across Year levels 4 - 6 and for both males and females.</w:t>
            </w:r>
          </w:p>
        </w:tc>
      </w:tr>
      <w:tr>
        <w:trPr>
          <w:trHeight w:hRule="atLeast" w:val="371"/>
        </w:trPr>
        <w:tc>
          <w:tcPr>
            <w:tcW w:type="dxa" w:w="3772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FISO Initiative</w:t>
            </w:r>
          </w:p>
        </w:tc>
        <w:tc>
          <w:tcPr>
            <w:tcW w:type="dxa" w:w="18458"/>
            <w:shd w:color="000000" w:fill="D9D9D9" w:val="clear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 xml:space="preserve">Intellectual </w:t>
            </w:r>
            <w:r>
              <w:rPr>
                <w:sz w:val="20"/>
              </w:rPr>
              <w:t>engagement and self-awareness</w:t>
            </w:r>
          </w:p>
        </w:tc>
      </w:tr>
      <w:tr>
        <w:trPr>
          <w:trHeight w:hRule="atLeast" w:val="15"/>
        </w:trPr>
        <w:tc>
          <w:tcPr>
            <w:tcW w:type="dxa" w:w="3772"/>
            <w:shd w:color="000000" w:fill="D9D9D9" w:val="clear"/>
          </w:tcPr>
          <w:p>
            <w:pPr>
              <w:pStyle w:val="Heading3"/>
              <w:spacing w:after="0" w:before="0"/>
              <w:rPr>
                <w:rStyle w:val="Normal"/>
                <w:rFonts w:ascii="Arial" w:hAnsi="Arial"/>
                <w:b w:val="1"/>
                <w:color w:val="000000"/>
                <w:sz w:val="20"/>
                <w:lang w:bidi="ar_SA" w:eastAsia="en_US" w:val="en_US"/>
              </w:rPr>
            </w:pPr>
            <w:r>
              <w:t>Key Improvement Strategies</w:t>
            </w:r>
          </w:p>
        </w:tc>
        <w:tc>
          <w:tcPr>
            <w:tcW w:type="dxa" w:w="18458"/>
            <w:shd w:color="000000" w:fill="D9D9D9" w:val="clear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</w:p>
        </w:tc>
      </w:tr>
      <w:tr>
        <w:trPr>
          <w:trHeight w:hRule="atLeast" w:val="101"/>
        </w:trPr>
        <w:tc>
          <w:tcPr>
            <w:tcW w:type="dxa" w:w="3772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KIS 1</w:t>
            </w:r>
          </w:p>
        </w:tc>
        <w:tc>
          <w:tcPr>
            <w:tcW w:type="dxa" w:w="18458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Empowering students to develop higher levels of efficacy and accountability for their own learning by explicitly including instruction that builds approaches to learning, encouraging them to</w:t>
            </w:r>
            <w:r>
              <w:rPr>
                <w:sz w:val="20"/>
              </w:rPr>
              <w:t xml:space="preserve"> become more independent, self–aware and have the ability to analyse their own learning.</w:t>
            </w:r>
          </w:p>
        </w:tc>
      </w:tr>
      <w:tr>
        <w:trPr>
          <w:trHeight w:hRule="atLeast" w:val="101"/>
        </w:trPr>
        <w:tc>
          <w:tcPr>
            <w:tcW w:type="dxa" w:w="3772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KIS 2</w:t>
            </w:r>
          </w:p>
        </w:tc>
        <w:tc>
          <w:tcPr>
            <w:tcW w:type="dxa" w:w="18458"/>
          </w:tcPr>
          <w:p>
            <w:pPr>
              <w:pStyle w:val="ESBodyText"/>
              <w:spacing w:after="0"/>
              <w:rPr>
                <w:rStyle w:val="Normal"/>
                <w:rFonts w:ascii="Arial" w:hAnsi="Arial"/>
                <w:b w:val="1"/>
                <w:sz w:val="18"/>
                <w:lang w:bidi="ar_SA" w:eastAsia="en_US" w:val="en_US"/>
              </w:rPr>
            </w:pPr>
            <w:r>
              <w:rPr>
                <w:sz w:val="20"/>
              </w:rPr>
              <w:t>Ensuring teachers and students have a balanced collaborative voice about decision–making.</w:t>
            </w:r>
          </w:p>
        </w:tc>
      </w:tr>
    </w:tbl>
    <w:p>
      <w:pPr>
        <w:pStyle w:val="ESBodyText"/>
        <w:rPr>
          <w:rStyle w:val="Normal"/>
          <w:rFonts w:ascii="Arial" w:hAnsi="Arial"/>
          <w:sz w:val="18"/>
          <w:lang w:bidi="ar_SA" w:eastAsia="en_US" w:val="en_US"/>
        </w:rPr>
      </w:pPr>
    </w:p>
    <w:sectPr>
      <w:headerReference w:type="even" r:id="rId12"/>
      <w:headerReference w:type="default" r:id="rId13"/>
      <w:headerReference w:type="first" r:id="rId14"/>
      <w:footerReference w:type="default" r:id="rId15"/>
      <w:pgSz w:h="16838" w:orient="landscape" w:w="23811"/>
      <w:pgMar w:bottom="1240" w:footer="532" w:gutter="0" w:header="624" w:left="1304" w:right="2036" w:top="1304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E4" w:rsidRDefault="009D63E4">
      <w:pPr>
        <w:spacing w:after="0" w:line="240" w:lineRule="auto"/>
      </w:pPr>
      <w:r>
        <w:separator/>
      </w:r>
    </w:p>
  </w:endnote>
  <w:endnote w:type="continuationSeparator" w:id="0">
    <w:p w:rsidR="009D63E4" w:rsidRDefault="009D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Default="009D63E4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29" w:rsidRDefault="009D63E4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9D63E4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9D63E4" w:rsidP="00943620">
    <w:pPr>
      <w:pStyle w:val="ESSubheading1"/>
      <w:ind w:firstLine="567"/>
    </w:pPr>
    <w:r w:rsidRPr="00943620">
      <w:rPr>
        <w:noProof/>
        <w:sz w:val="15"/>
        <w:szCs w:val="15"/>
      </w:rPr>
      <w:t>Kunyung Primary School (5182) - 2018 - Annual Implementation Plan.docx</w:t>
    </w:r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9D63E4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901B7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E4" w:rsidRDefault="009D63E4">
      <w:pPr>
        <w:spacing w:after="0" w:line="240" w:lineRule="auto"/>
      </w:pPr>
      <w:r>
        <w:separator/>
      </w:r>
    </w:p>
  </w:footnote>
  <w:footnote w:type="continuationSeparator" w:id="0">
    <w:p w:rsidR="009D63E4" w:rsidRDefault="009D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9D63E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2A" w:rsidRDefault="009D63E4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7838943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D63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9D63E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9D63E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D63E4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9D63E4" w:rsidP="008766A4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9D63E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9D63E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9D63E4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multilevel"/>
    <w:tmpl w:val="4FE6ADFC"/>
    <w:numStyleLink w:val=""/>
    <w:lvl w:ilvl="0">
      <w:start w:val="1"/>
      <w:numFmt w:val="bullet"/>
      <w:lvlText w:val=""/>
      <w:lvlJc w:val="left"/>
      <w:pPr>
        <w:ind w:hanging="360" w:left="-600"/>
      </w:pPr>
      <w:rPr>
        <w:rFonts w:ascii="Symbol" w:hAnsi="Symbol"/>
        <w:color w:val="AF272F"/>
      </w:rPr>
    </w:lvl>
    <w:lvl w:ilvl="1">
      <w:start w:val="1"/>
      <w:numFmt w:val="bullet"/>
      <w:lvlText w:val=""/>
      <w:lvlJc w:val="left"/>
      <w:pPr>
        <w:tabs>
          <w:tab w:leader="none" w:pos="-240" w:val="num"/>
        </w:tabs>
        <w:ind w:hanging="360" w:left="12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leader="none" w:pos="480" w:val="num"/>
        </w:tabs>
        <w:ind w:hanging="360" w:left="84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leader="none" w:pos="1200" w:val="num"/>
        </w:tabs>
        <w:ind w:hanging="360" w:left="1560"/>
      </w:pPr>
      <w:rPr>
        <w:rFonts w:ascii="Wingdings" w:hAnsi="Wingdings"/>
        <w:color w:val="AF272F"/>
      </w:rPr>
    </w:lvl>
    <w:lvl w:ilvl="4">
      <w:start w:val="1"/>
      <w:numFmt w:val="bullet"/>
      <w:lvlText w:val=""/>
      <w:lvlJc w:val="left"/>
      <w:pPr>
        <w:tabs>
          <w:tab w:leader="none" w:pos="1920" w:val="num"/>
        </w:tabs>
        <w:ind w:hanging="360" w:left="228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leader="none" w:pos="2640" w:val="num"/>
        </w:tabs>
        <w:ind w:hanging="360" w:left="3000"/>
      </w:pPr>
      <w:rPr>
        <w:rFonts w:ascii="Symbol" w:hAnsi="Symbol"/>
        <w:sz w:val="15"/>
      </w:rPr>
    </w:lvl>
    <w:lvl w:ilvl="6">
      <w:start w:val="1"/>
      <w:numFmt w:val="bullet"/>
      <w:lvlText w:val="o"/>
      <w:lvlJc w:val="left"/>
      <w:pPr>
        <w:tabs>
          <w:tab w:leader="none" w:pos="3360" w:val="num"/>
        </w:tabs>
        <w:ind w:hanging="360" w:left="372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leader="none" w:pos="4080" w:val="num"/>
        </w:tabs>
        <w:ind w:hanging="360" w:left="444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leader="none" w:pos="4800" w:val="num"/>
        </w:tabs>
        <w:ind w:hanging="360" w:left="5160"/>
      </w:pPr>
      <w:rPr>
        <w:rFonts w:ascii="Wingdings" w:hAnsi="Wingdings"/>
      </w:rPr>
    </w:lvl>
  </w:abstractNum>
  <w:abstractNum w:abstractNumId="1">
    <w:multiLevelType w:val="singleLevel"/>
    <w:tmpl w:val="C9844DB2"/>
    <w:numStyleLink w:val=""/>
    <w:lvl w:ilvl="0">
      <w:start w:val="1"/>
      <w:numFmt w:val="decimal"/>
      <w:lvlText w:val="%1."/>
      <w:lvlJc w:val="left"/>
      <w:pPr>
        <w:tabs>
          <w:tab w:leader="none" w:pos="1492" w:val="num"/>
        </w:tabs>
        <w:ind w:hanging="360" w:left="1492"/>
      </w:pPr>
    </w:lvl>
  </w:abstractNum>
  <w:abstractNum w:abstractNumId="2">
    <w:multiLevelType w:val="singleLevel"/>
    <w:tmpl w:val="AEDC9C9A"/>
    <w:numStyleLink w:val=""/>
    <w:lvl w:ilvl="0">
      <w:start w:val="1"/>
      <w:numFmt w:val="decimal"/>
      <w:lvlText w:val="%1."/>
      <w:lvlJc w:val="left"/>
      <w:pPr>
        <w:tabs>
          <w:tab w:leader="none" w:pos="1209" w:val="num"/>
        </w:tabs>
        <w:ind w:hanging="360" w:left="1209"/>
      </w:pPr>
    </w:lvl>
  </w:abstractNum>
  <w:abstractNum w:abstractNumId="3">
    <w:multiLevelType w:val="singleLevel"/>
    <w:tmpl w:val="311ED480"/>
    <w:numStyleLink w:val=""/>
    <w:lvl w:ilvl="0">
      <w:start w:val="1"/>
      <w:numFmt w:val="decimal"/>
      <w:lvlText w:val="%1."/>
      <w:lvlJc w:val="left"/>
      <w:pPr>
        <w:tabs>
          <w:tab w:leader="none" w:pos="926" w:val="num"/>
        </w:tabs>
        <w:ind w:hanging="360" w:left="926"/>
      </w:pPr>
    </w:lvl>
  </w:abstractNum>
  <w:abstractNum w:abstractNumId="4">
    <w:multiLevelType w:val="singleLevel"/>
    <w:tmpl w:val="821843EA"/>
    <w:numStyleLink w:val=""/>
    <w:lvl w:ilvl="0">
      <w:start w:val="1"/>
      <w:numFmt w:val="decimal"/>
      <w:lvlText w:val="%1."/>
      <w:lvlJc w:val="left"/>
      <w:pPr>
        <w:tabs>
          <w:tab w:leader="none" w:pos="643" w:val="num"/>
        </w:tabs>
        <w:ind w:hanging="360" w:left="643"/>
      </w:pPr>
    </w:lvl>
  </w:abstractNum>
  <w:abstractNum w:abstractNumId="5">
    <w:multiLevelType w:val="singleLevel"/>
    <w:tmpl w:val="530ECA6E"/>
    <w:numStyleLink w:val=""/>
    <w:lvl w:ilvl="0">
      <w:start w:val="1"/>
      <w:numFmt w:val="bullet"/>
      <w:lvlText w:val=""/>
      <w:lvlJc w:val="left"/>
      <w:pPr>
        <w:tabs>
          <w:tab w:leader="none" w:pos="1492" w:val="num"/>
        </w:tabs>
        <w:ind w:hanging="360" w:left="1492"/>
      </w:pPr>
      <w:rPr>
        <w:rFonts w:ascii="Symbol" w:hAnsi="Symbol"/>
      </w:rPr>
    </w:lvl>
  </w:abstractNum>
  <w:abstractNum w:abstractNumId="6">
    <w:multiLevelType w:val="singleLevel"/>
    <w:tmpl w:val="41CA33B6"/>
    <w:numStyleLink w:val=""/>
    <w:lvl w:ilvl="0">
      <w:start w:val="1"/>
      <w:numFmt w:val="bullet"/>
      <w:lvlText w:val=""/>
      <w:lvlJc w:val="left"/>
      <w:pPr>
        <w:tabs>
          <w:tab w:leader="none" w:pos="1209" w:val="num"/>
        </w:tabs>
        <w:ind w:hanging="360" w:left="1209"/>
      </w:pPr>
      <w:rPr>
        <w:rFonts w:ascii="Symbol" w:hAnsi="Symbol"/>
      </w:rPr>
    </w:lvl>
  </w:abstractNum>
  <w:abstractNum w:abstractNumId="7">
    <w:multiLevelType w:val="singleLevel"/>
    <w:tmpl w:val="B204D11A"/>
    <w:numStyleLink w:val=""/>
    <w:lvl w:ilvl="0">
      <w:start w:val="1"/>
      <w:numFmt w:val="bullet"/>
      <w:lvlText w:val=""/>
      <w:lvlJc w:val="left"/>
      <w:pPr>
        <w:tabs>
          <w:tab w:leader="none" w:pos="926" w:val="num"/>
        </w:tabs>
        <w:ind w:hanging="360" w:left="926"/>
      </w:pPr>
      <w:rPr>
        <w:rFonts w:ascii="Symbol" w:hAnsi="Symbol"/>
      </w:rPr>
    </w:lvl>
  </w:abstractNum>
  <w:abstractNum w:abstractNumId="8">
    <w:multiLevelType w:val="singleLevel"/>
    <w:tmpl w:val="5CF22D7E"/>
    <w:numStyleLink w:val=""/>
    <w:lvl w:ilvl="0">
      <w:start w:val="1"/>
      <w:numFmt w:val="bullet"/>
      <w:lvlText w:val=""/>
      <w:lvlJc w:val="left"/>
      <w:pPr>
        <w:tabs>
          <w:tab w:leader="none" w:pos="643" w:val="num"/>
        </w:tabs>
        <w:ind w:hanging="360" w:left="643"/>
      </w:pPr>
      <w:rPr>
        <w:rFonts w:ascii="Symbol" w:hAnsi="Symbol"/>
      </w:rPr>
    </w:lvl>
  </w:abstractNum>
  <w:abstractNum w:abstractNumId="9">
    <w:multiLevelType w:val="singleLevel"/>
    <w:tmpl w:val="936ABC90"/>
    <w:numStyleLink w:val="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10">
    <w:multiLevelType w:val="singleLevel"/>
    <w:tmpl w:val="565A255A"/>
    <w:numStyleLink w:val="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1">
    <w:multiLevelType w:val="multilevel"/>
    <w:tmpl w:val="0409001D"/>
    <w:numStyleLink w:val="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12">
    <w:multiLevelType w:val="multilevel"/>
    <w:tmpl w:val="58EA9756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  <w:color w:val="AF272F"/>
      </w:rPr>
    </w:lvl>
    <w:lvl w:ilvl="1">
      <w:start w:val="1"/>
      <w:numFmt w:val="bullet"/>
      <w:lvlText w:val=""/>
      <w:lvlJc w:val="left"/>
      <w:pPr>
        <w:tabs>
          <w:tab w:leader="none" w:pos="720" w:val="num"/>
        </w:tabs>
        <w:ind w:hanging="360" w:left="108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leader="none" w:pos="1440" w:val="num"/>
        </w:tabs>
        <w:ind w:hanging="360" w:left="180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leader="none" w:pos="2160" w:val="num"/>
        </w:tabs>
        <w:ind w:hanging="360" w:left="252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leader="none" w:pos="2880" w:val="num"/>
        </w:tabs>
        <w:ind w:hanging="360" w:left="324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leader="none" w:pos="3600" w:val="num"/>
        </w:tabs>
        <w:ind w:hanging="360" w:left="3960"/>
      </w:pPr>
      <w:rPr>
        <w:rFonts w:ascii="Symbol" w:hAnsi="Symbol"/>
        <w:sz w:val="15"/>
      </w:rPr>
    </w:lvl>
    <w:lvl w:ilvl="6">
      <w:start w:val="1"/>
      <w:numFmt w:val="bullet"/>
      <w:lvlText w:val="o"/>
      <w:lvlJc w:val="left"/>
      <w:pPr>
        <w:tabs>
          <w:tab w:leader="none" w:pos="4320" w:val="num"/>
        </w:tabs>
        <w:ind w:hanging="360" w:left="468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leader="none" w:pos="5040" w:val="num"/>
        </w:tabs>
        <w:ind w:hanging="360" w:left="540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leader="none" w:pos="5760" w:val="num"/>
        </w:tabs>
        <w:ind w:hanging="360" w:left="6120"/>
      </w:pPr>
      <w:rPr>
        <w:rFonts w:ascii="Wingdings" w:hAnsi="Wingdings"/>
      </w:rPr>
    </w:lvl>
  </w:abstractNum>
  <w:abstractNum w:abstractNumId="13">
    <w:multiLevelType w:val="hybridMultilevel"/>
    <w:tmpl w:val="97505B86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  <w:color w:val="AF272F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multiLevelType w:val="multilevel"/>
    <w:tmpl w:val="FEE4086A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leader="none" w:pos="720" w:val="num"/>
        </w:tabs>
        <w:ind w:hanging="360" w:left="108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leader="none" w:pos="1440" w:val="num"/>
        </w:tabs>
        <w:ind w:hanging="360" w:left="180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leader="none" w:pos="2160" w:val="num"/>
        </w:tabs>
        <w:ind w:hanging="360" w:left="252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leader="none" w:pos="2880" w:val="num"/>
        </w:tabs>
        <w:ind w:hanging="360" w:left="324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leader="none" w:pos="3600" w:val="num"/>
        </w:tabs>
        <w:ind w:hanging="360" w:left="39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leader="none" w:pos="4320" w:val="num"/>
        </w:tabs>
        <w:ind w:hanging="360" w:left="468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leader="none" w:pos="5040" w:val="num"/>
        </w:tabs>
        <w:ind w:hanging="360" w:left="540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leader="none" w:pos="5760" w:val="num"/>
        </w:tabs>
        <w:ind w:hanging="360" w:left="6120"/>
      </w:pPr>
      <w:rPr>
        <w:rFonts w:ascii="Wingdings" w:hAnsi="Wingdings"/>
      </w:rPr>
    </w:lvl>
  </w:abstractNum>
  <w:abstractNum w:abstractNumId="15">
    <w:multiLevelType w:val="multilevel"/>
    <w:tmpl w:val="20C6D0A0"/>
    <w:numStyleLink w:val=""/>
    <w:lvl w:ilvl="0">
      <w:start w:val="1"/>
      <w:numFmt w:val="bullet"/>
      <w:lvlText w:val=""/>
      <w:lvlJc w:val="left"/>
      <w:pPr>
        <w:ind w:hanging="360" w:left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leader="none" w:pos="720" w:val="num"/>
        </w:tabs>
        <w:ind w:hanging="360" w:left="108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leader="none" w:pos="1440" w:val="num"/>
        </w:tabs>
        <w:ind w:hanging="360" w:left="180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leader="none" w:pos="2160" w:val="num"/>
        </w:tabs>
        <w:ind w:hanging="360" w:left="252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leader="none" w:pos="2880" w:val="num"/>
        </w:tabs>
        <w:ind w:hanging="360" w:left="324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leader="none" w:pos="3600" w:val="num"/>
        </w:tabs>
        <w:ind w:hanging="360" w:left="3960"/>
      </w:pPr>
      <w:rPr>
        <w:rFonts w:ascii="Symbol" w:hAnsi="Symbol"/>
        <w:sz w:val="15"/>
      </w:rPr>
    </w:lvl>
    <w:lvl w:ilvl="6">
      <w:start w:val="1"/>
      <w:numFmt w:val="bullet"/>
      <w:lvlText w:val="o"/>
      <w:lvlJc w:val="left"/>
      <w:pPr>
        <w:tabs>
          <w:tab w:leader="none" w:pos="4320" w:val="num"/>
        </w:tabs>
        <w:ind w:hanging="360" w:left="468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leader="none" w:pos="5040" w:val="num"/>
        </w:tabs>
        <w:ind w:hanging="360" w:left="540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leader="none" w:pos="5760" w:val="num"/>
        </w:tabs>
        <w:ind w:hanging="360" w:left="6120"/>
      </w:pPr>
      <w:rPr>
        <w:rFonts w:ascii="Wingdings" w:hAnsi="Wingdings"/>
      </w:rPr>
    </w:lvl>
  </w:abstractNum>
  <w:abstractNum w:abstractNumId="16">
    <w:multiLevelType w:val="multilevel"/>
    <w:tmpl w:val="0409001D"/>
    <w:numStyleLink w:val="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17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stylePaneSortMethod w:val="0000"/>
  <w:documentProtection w:enforcement="0"/>
  <w:autoFormatOverride w:val="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C"/>
    <w:rsid w:val="003321DC"/>
    <w:rsid w:val="00901B77"/>
    <w:rsid w:val="009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standalone="yes" ?><Relationships xmlns="http://schemas.openxmlformats.org/package/2006/relationships"><Relationship Id="rId1" Target="../customXml/item3.xml" Type="http://schemas.openxmlformats.org/officeDocument/2006/relationships/customXml"></Relationship><Relationship Id="rId2" Target="../customXml/item2.xml" Type="http://schemas.openxmlformats.org/officeDocument/2006/relationships/customXml"></Relationship><Relationship Id="rId3" Target="../customXml/item1.xml" Type="http://schemas.openxmlformats.org/officeDocument/2006/relationships/customXml"></Relationship><Relationship Id="rId4" Target="../customXml/item5.xml" Type="http://schemas.openxmlformats.org/officeDocument/2006/relationships/customXml"></Relationship><Relationship Id="rId5" Target="../customXml/item4.xml" Type="http://schemas.openxmlformats.org/officeDocument/2006/relationships/customXml"></Relationship><Relationship Id="rId6" Target="media/image1.png" Type="http://schemas.openxmlformats.org/officeDocument/2006/relationships/image"></Relationship><Relationship Id="rId7" Target="header1.xml" Type="http://schemas.openxmlformats.org/officeDocument/2006/relationships/header"></Relationship><Relationship Id="rId8" Target="header2.xml" Type="http://schemas.openxmlformats.org/officeDocument/2006/relationships/header"></Relationship><Relationship Id="rId9" Target="header3.xml" Type="http://schemas.openxmlformats.org/officeDocument/2006/relationships/header"></Relationship><Relationship Id="rId10" Target="footer1.xml" Type="http://schemas.openxmlformats.org/officeDocument/2006/relationships/footer"></Relationship><Relationship Id="rId11" Target="footer2.xml" Type="http://schemas.openxmlformats.org/officeDocument/2006/relationships/footer"></Relationship><Relationship Id="rId12" Target="header4.xml" Type="http://schemas.openxmlformats.org/officeDocument/2006/relationships/header"></Relationship><Relationship Id="rId13" Target="header5.xml" Type="http://schemas.openxmlformats.org/officeDocument/2006/relationships/header"></Relationship><Relationship Id="rId14" Target="header6.xml" Type="http://schemas.openxmlformats.org/officeDocument/2006/relationships/header"></Relationship><Relationship Id="rId15" Target="footer3.xml" Type="http://schemas.openxmlformats.org/officeDocument/2006/relationships/footer"></Relationship><Relationship Id="rId16" Target="footnotes.xml" Type="http://schemas.openxmlformats.org/officeDocument/2006/relationships/footnotes"></Relationship><Relationship Id="rId17" Target="endnotes.xml" Type="http://schemas.openxmlformats.org/officeDocument/2006/relationships/endnotes"></Relationship><Relationship Id="rId18" Target="settings.xml" Type="http://schemas.openxmlformats.org/officeDocument/2006/relationships/settings"></Relationship><Relationship Id="rId19" Target="numbering.xml" Type="http://schemas.openxmlformats.org/officeDocument/2006/relationships/numbering"></Relationship><Relationship Id="rId20" Target="fontTable.xml" Type="http://schemas.openxmlformats.org/officeDocument/2006/relationships/fontTable"></Relationship><Relationship Id="rId21" Target="webSettings.xml" Type="http://schemas.openxmlformats.org/officeDocument/2006/relationships/webSettings"></Relationship><Relationship Id="rId22" Target="styles.xml" Type="http://schemas.openxmlformats.org/officeDocument/2006/relationships/styles"></Relationship><Relationship Id="rId23" Target="theme/theme1.xml" Type="http://schemas.openxmlformats.org/officeDocument/2006/relationships/theme"></Relationship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1E42EC0-5036-4AFC-B554-EE8D4B4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4</Pages>
  <Words>1232</Words>
  <Characters>6945</Characters>
  <Lines>58</Lines>
  <Paragraphs>16</Paragraphs>
  <TotalTime>0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8149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Jackson, Kim K</cp:lastModifiedBy>
  <cp:revision>2</cp:revision>
  <dcterms:created xsi:type="dcterms:W3CDTF">2018-02-26T05:50:00Z</dcterms:created>
  <dcterms:modified xsi:type="dcterms:W3CDTF">2018-02-26T05:50:00Z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